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B740" w14:textId="21D0BAD6" w:rsidR="00EF3A2A" w:rsidRDefault="00991950" w:rsidP="692A383A">
      <w:pPr>
        <w:spacing w:line="256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692A383A">
        <w:rPr>
          <w:b/>
          <w:bCs/>
          <w:sz w:val="28"/>
          <w:szCs w:val="28"/>
          <w:u w:val="single"/>
          <w:lang w:val="en-US"/>
        </w:rPr>
        <w:t>YUFE4Postdocs Frequently Asked Questions</w:t>
      </w:r>
    </w:p>
    <w:p w14:paraId="09F36A23" w14:textId="19BA3C1A" w:rsidR="692A383A" w:rsidRDefault="692A383A" w:rsidP="692A383A">
      <w:pPr>
        <w:jc w:val="center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F3A2A" w14:paraId="499E52B6" w14:textId="77777777" w:rsidTr="0F8B4B7A">
        <w:tc>
          <w:tcPr>
            <w:tcW w:w="3397" w:type="dxa"/>
          </w:tcPr>
          <w:p w14:paraId="3BED191F" w14:textId="3FD9DB06" w:rsidR="00EF3A2A" w:rsidRPr="00EF3A2A" w:rsidRDefault="00EF3A2A" w:rsidP="00EF3A2A">
            <w:pPr>
              <w:spacing w:line="25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A2A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665" w:type="dxa"/>
          </w:tcPr>
          <w:p w14:paraId="11E998F9" w14:textId="5351B0A6" w:rsidR="00EF3A2A" w:rsidRPr="00EF3A2A" w:rsidRDefault="00EF3A2A" w:rsidP="00EF3A2A">
            <w:pPr>
              <w:spacing w:line="25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3A2A"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EF3A2A" w14:paraId="69B35CE8" w14:textId="77777777" w:rsidTr="0F8B4B7A">
        <w:tc>
          <w:tcPr>
            <w:tcW w:w="3397" w:type="dxa"/>
          </w:tcPr>
          <w:p w14:paraId="59D7EA2E" w14:textId="03AF2E03" w:rsidR="00EF3A2A" w:rsidRPr="00772346" w:rsidRDefault="00772346" w:rsidP="00493DD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772346">
              <w:rPr>
                <w:rFonts w:cstheme="minorHAnsi"/>
                <w:sz w:val="24"/>
                <w:szCs w:val="24"/>
                <w:lang w:val="en-US"/>
              </w:rPr>
              <w:t>I received my first doctoral degree more than 6 years ago. Can I still apply for YUFE4Postdocs?</w:t>
            </w:r>
          </w:p>
        </w:tc>
        <w:tc>
          <w:tcPr>
            <w:tcW w:w="5665" w:type="dxa"/>
          </w:tcPr>
          <w:p w14:paraId="17C34AA8" w14:textId="25A66B7E" w:rsidR="00772346" w:rsidRPr="00493DD3" w:rsidRDefault="2103F685" w:rsidP="692A383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92A383A">
              <w:rPr>
                <w:rFonts w:ascii="Calibri" w:eastAsia="Calibri" w:hAnsi="Calibri" w:cs="Calibri"/>
                <w:sz w:val="24"/>
                <w:szCs w:val="24"/>
              </w:rPr>
              <w:t>Postdocs must have a maximum of 6 years of experience in research from the date of award of their (first) doctoral degree. This differs from the 8 years of research experience defined in the MSCA scheme and is a distinct feature of the Y4P program.</w:t>
            </w:r>
          </w:p>
          <w:p w14:paraId="18DD366E" w14:textId="7531D5E2" w:rsidR="00772346" w:rsidRPr="00493DD3" w:rsidRDefault="00772346" w:rsidP="692A383A">
            <w:pPr>
              <w:spacing w:line="257" w:lineRule="auto"/>
              <w:rPr>
                <w:sz w:val="24"/>
                <w:szCs w:val="24"/>
              </w:rPr>
            </w:pPr>
          </w:p>
          <w:p w14:paraId="66D66A3D" w14:textId="020C07FC" w:rsidR="00772346" w:rsidRPr="00493DD3" w:rsidRDefault="00772346" w:rsidP="692A383A">
            <w:pPr>
              <w:spacing w:line="257" w:lineRule="auto"/>
              <w:rPr>
                <w:b/>
                <w:bCs/>
                <w:sz w:val="24"/>
                <w:szCs w:val="24"/>
                <w:lang w:val="en-US"/>
              </w:rPr>
            </w:pPr>
            <w:r w:rsidRPr="692A383A">
              <w:rPr>
                <w:sz w:val="24"/>
                <w:szCs w:val="24"/>
              </w:rPr>
              <w:t>The limit can be extended (in days) for the following reasons:</w:t>
            </w:r>
          </w:p>
          <w:p w14:paraId="4AB68BD6" w14:textId="77777777" w:rsidR="00772346" w:rsidRPr="00493DD3" w:rsidRDefault="00772346" w:rsidP="0077234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3DD3">
              <w:rPr>
                <w:rFonts w:cstheme="minorHAnsi"/>
                <w:sz w:val="24"/>
                <w:szCs w:val="24"/>
              </w:rPr>
              <w:t>Maternity Leave (18 months-i.e., 548 days per child born after the PhD award date, or the exact duration of maternity leave taken, whichever is longest).</w:t>
            </w:r>
          </w:p>
          <w:p w14:paraId="581F7D3D" w14:textId="77777777" w:rsidR="00772346" w:rsidRPr="00493DD3" w:rsidRDefault="00772346" w:rsidP="0077234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3DD3">
              <w:rPr>
                <w:rFonts w:cstheme="minorHAnsi"/>
                <w:sz w:val="24"/>
                <w:szCs w:val="24"/>
              </w:rPr>
              <w:t>Paternity Leave (exact duration per child born after the PhD award date).</w:t>
            </w:r>
          </w:p>
          <w:p w14:paraId="4B146799" w14:textId="77777777" w:rsidR="00772346" w:rsidRPr="00493DD3" w:rsidRDefault="00772346" w:rsidP="0077234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3DD3">
              <w:rPr>
                <w:rFonts w:cstheme="minorHAnsi"/>
                <w:sz w:val="24"/>
                <w:szCs w:val="24"/>
              </w:rPr>
              <w:t>Compulsory national service.</w:t>
            </w:r>
          </w:p>
          <w:p w14:paraId="68D73BA3" w14:textId="77777777" w:rsidR="00772346" w:rsidRPr="00493DD3" w:rsidRDefault="00772346" w:rsidP="0077234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3DD3">
              <w:rPr>
                <w:rFonts w:cstheme="minorHAnsi"/>
                <w:sz w:val="24"/>
                <w:szCs w:val="24"/>
              </w:rPr>
              <w:t>Time spent not working in research.</w:t>
            </w:r>
          </w:p>
          <w:p w14:paraId="2417BB00" w14:textId="1FD4C0E7" w:rsidR="00772346" w:rsidRDefault="00772346" w:rsidP="00772346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3DD3">
              <w:rPr>
                <w:rFonts w:cstheme="minorHAnsi"/>
                <w:sz w:val="24"/>
                <w:szCs w:val="24"/>
              </w:rPr>
              <w:t xml:space="preserve">Long-term sick leave (periods greater than 30 days). </w:t>
            </w:r>
          </w:p>
          <w:p w14:paraId="3FF92088" w14:textId="77777777" w:rsidR="00772346" w:rsidRPr="00493DD3" w:rsidRDefault="00772346" w:rsidP="00772346">
            <w:pPr>
              <w:pStyle w:val="ListParagraph"/>
              <w:spacing w:line="256" w:lineRule="auto"/>
              <w:rPr>
                <w:rFonts w:cstheme="minorHAnsi"/>
                <w:sz w:val="24"/>
                <w:szCs w:val="24"/>
              </w:rPr>
            </w:pPr>
          </w:p>
          <w:p w14:paraId="4B3FCD4A" w14:textId="0D194738" w:rsidR="00EF3A2A" w:rsidRDefault="00772346" w:rsidP="4DD82264">
            <w:pPr>
              <w:spacing w:line="256" w:lineRule="auto"/>
              <w:rPr>
                <w:sz w:val="24"/>
                <w:szCs w:val="24"/>
              </w:rPr>
            </w:pPr>
            <w:r w:rsidRPr="4DD82264">
              <w:rPr>
                <w:sz w:val="24"/>
                <w:szCs w:val="24"/>
              </w:rPr>
              <w:t xml:space="preserve">Applicants are invited to list possible extensions in the CV template and do not need to provide evidence at the point of submission. However, it may be requested at a later stage. </w:t>
            </w:r>
          </w:p>
        </w:tc>
      </w:tr>
      <w:tr w:rsidR="00EF3A2A" w14:paraId="2CC8418B" w14:textId="77777777" w:rsidTr="007D7D1B">
        <w:trPr>
          <w:trHeight w:val="1296"/>
        </w:trPr>
        <w:tc>
          <w:tcPr>
            <w:tcW w:w="3397" w:type="dxa"/>
          </w:tcPr>
          <w:p w14:paraId="210025FF" w14:textId="61542E20" w:rsidR="00EF3A2A" w:rsidRPr="007D7D1B" w:rsidRDefault="00772346" w:rsidP="00493DD3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 xml:space="preserve">I have not completed my PhD or previous studies </w:t>
            </w:r>
            <w:r w:rsidR="3FB23896" w:rsidRPr="692A383A">
              <w:rPr>
                <w:sz w:val="24"/>
                <w:szCs w:val="24"/>
              </w:rPr>
              <w:t>at</w:t>
            </w:r>
            <w:r w:rsidRPr="692A383A">
              <w:rPr>
                <w:sz w:val="24"/>
                <w:szCs w:val="24"/>
              </w:rPr>
              <w:t xml:space="preserve"> one of the nine YUFE Universities. Am I eligible to apply? </w:t>
            </w:r>
          </w:p>
        </w:tc>
        <w:tc>
          <w:tcPr>
            <w:tcW w:w="5665" w:type="dxa"/>
          </w:tcPr>
          <w:p w14:paraId="1DBE68D4" w14:textId="62CBC75A" w:rsidR="00EF3A2A" w:rsidRDefault="00772346" w:rsidP="4DD82264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 xml:space="preserve">Applicants from all institutions </w:t>
            </w:r>
            <w:r w:rsidR="005C65CC">
              <w:rPr>
                <w:sz w:val="24"/>
                <w:szCs w:val="24"/>
              </w:rPr>
              <w:t xml:space="preserve">(and nationalities) </w:t>
            </w:r>
            <w:r w:rsidRPr="692A383A">
              <w:rPr>
                <w:sz w:val="24"/>
                <w:szCs w:val="24"/>
              </w:rPr>
              <w:t>can apply</w:t>
            </w:r>
            <w:r w:rsidR="003F3C4B">
              <w:rPr>
                <w:sz w:val="24"/>
                <w:szCs w:val="24"/>
              </w:rPr>
              <w:t xml:space="preserve">. </w:t>
            </w:r>
            <w:r w:rsidRPr="692A383A">
              <w:rPr>
                <w:sz w:val="24"/>
                <w:szCs w:val="24"/>
              </w:rPr>
              <w:t>It is open to those who have studied/worked in one of the YUFE universities and for those who have not</w:t>
            </w:r>
            <w:r w:rsidR="007D7D1B">
              <w:rPr>
                <w:sz w:val="24"/>
                <w:szCs w:val="24"/>
              </w:rPr>
              <w:t>.</w:t>
            </w:r>
          </w:p>
        </w:tc>
      </w:tr>
      <w:tr w:rsidR="00EF3A2A" w14:paraId="667F50E6" w14:textId="77777777" w:rsidTr="0F8B4B7A">
        <w:tc>
          <w:tcPr>
            <w:tcW w:w="3397" w:type="dxa"/>
          </w:tcPr>
          <w:p w14:paraId="198731A3" w14:textId="2790B55A" w:rsidR="00EF3A2A" w:rsidRDefault="0CDCFEB9" w:rsidP="49A831FC">
            <w:pPr>
              <w:spacing w:line="256" w:lineRule="auto"/>
              <w:rPr>
                <w:sz w:val="24"/>
                <w:szCs w:val="24"/>
              </w:rPr>
            </w:pPr>
            <w:r w:rsidRPr="4DD82264">
              <w:rPr>
                <w:sz w:val="24"/>
                <w:szCs w:val="24"/>
              </w:rPr>
              <w:t xml:space="preserve">Can I apply for a part-time position? </w:t>
            </w:r>
          </w:p>
        </w:tc>
        <w:tc>
          <w:tcPr>
            <w:tcW w:w="5665" w:type="dxa"/>
          </w:tcPr>
          <w:p w14:paraId="72880045" w14:textId="4BA4AE11" w:rsidR="00EF3A2A" w:rsidRDefault="0CDCFEB9" w:rsidP="4DD82264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92A3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It is expected that postdocs will take on a full-time contract and work exclusively on the research training project. However, in agreement with the supervisor, host university and coordinating entity (U</w:t>
            </w:r>
            <w:r w:rsidR="3FC86D35" w:rsidRPr="692A3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niversity of </w:t>
            </w:r>
            <w:r w:rsidRPr="692A3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Antwerp) and prior approval by the </w:t>
            </w:r>
            <w:r w:rsidR="00CB17A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</w:t>
            </w:r>
            <w:r w:rsidRPr="692A3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 postdoc could implement their project on a part-time basis. This is to be evaluated on a case-by-case basis. In cases of part-time work, researchers must dedicate a minimum amount of their working time to the project</w:t>
            </w:r>
            <w:r w:rsidR="7B434471" w:rsidRPr="692A3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EF3A2A" w14:paraId="40ED0A7F" w14:textId="77777777" w:rsidTr="0F8B4B7A">
        <w:tc>
          <w:tcPr>
            <w:tcW w:w="3397" w:type="dxa"/>
          </w:tcPr>
          <w:p w14:paraId="3D4F6EE2" w14:textId="757A6068" w:rsidR="00EF3A2A" w:rsidRDefault="41E0E5C7" w:rsidP="4DD82264">
            <w:pPr>
              <w:spacing w:line="256" w:lineRule="auto"/>
              <w:rPr>
                <w:sz w:val="24"/>
                <w:szCs w:val="24"/>
              </w:rPr>
            </w:pPr>
            <w:r w:rsidRPr="4DD82264">
              <w:rPr>
                <w:sz w:val="24"/>
                <w:szCs w:val="24"/>
              </w:rPr>
              <w:t>I will not have defended my PhD by the application deadline. Can I still apply?</w:t>
            </w:r>
          </w:p>
        </w:tc>
        <w:tc>
          <w:tcPr>
            <w:tcW w:w="5665" w:type="dxa"/>
          </w:tcPr>
          <w:p w14:paraId="2B5D9A16" w14:textId="3027207B" w:rsidR="00EF3A2A" w:rsidRDefault="30F50A69" w:rsidP="2E7A5138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 the candidate cannot provide a PhD diploma certificate at the point of application, they can </w:t>
            </w:r>
            <w:r w:rsidR="197282DB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provide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 statement on headed paper from their supervisor/academic institution confirming that the 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thesis has been submitted 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and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will be defended by 31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6E36F783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August 2023. </w:t>
            </w:r>
            <w:r w:rsidR="34443107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r w:rsidR="7788AC64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cut-off </w:t>
            </w:r>
            <w:r w:rsidR="007D7D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date </w:t>
            </w:r>
            <w:r w:rsidR="275732D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</w:t>
            </w:r>
            <w:r w:rsidR="7788AC64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34443107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second call is 15</w:t>
            </w:r>
            <w:r w:rsidR="34443107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34443107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May 2024. </w:t>
            </w:r>
            <w:r w:rsidR="294CC95A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Applicants must</w:t>
            </w:r>
            <w:r w:rsidR="007D7D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then</w:t>
            </w:r>
            <w:r w:rsidR="294CC95A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2A6E821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send proof of </w:t>
            </w:r>
            <w:r w:rsidR="7D3B0F8E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successful </w:t>
            </w:r>
            <w:r w:rsidR="2A6E821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defence b</w:t>
            </w:r>
            <w:r w:rsidR="007D7D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</w:t>
            </w:r>
            <w:r w:rsidR="2A6E821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</w:t>
            </w:r>
            <w:r w:rsidR="2ECE8D6A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dates mentioned above</w:t>
            </w:r>
            <w:r w:rsidR="61072176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</w:t>
            </w:r>
            <w:r w:rsidR="2A6E821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 their application will not be </w:t>
            </w:r>
            <w:r w:rsidR="5560FA6E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passed </w:t>
            </w:r>
            <w:r w:rsidR="007D7D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on </w:t>
            </w:r>
            <w:r w:rsidR="5560FA6E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 the selection committee.</w:t>
            </w:r>
          </w:p>
        </w:tc>
      </w:tr>
      <w:tr w:rsidR="00EF3A2A" w14:paraId="2AEC56AB" w14:textId="77777777" w:rsidTr="0F8B4B7A">
        <w:tc>
          <w:tcPr>
            <w:tcW w:w="3397" w:type="dxa"/>
          </w:tcPr>
          <w:p w14:paraId="60B86F12" w14:textId="06626E8E" w:rsidR="00EF3A2A" w:rsidRDefault="51DA4134" w:rsidP="4DD82264">
            <w:pPr>
              <w:spacing w:line="256" w:lineRule="auto"/>
              <w:rPr>
                <w:sz w:val="24"/>
                <w:szCs w:val="24"/>
              </w:rPr>
            </w:pPr>
            <w:r w:rsidRPr="4DD82264">
              <w:rPr>
                <w:sz w:val="24"/>
                <w:szCs w:val="24"/>
              </w:rPr>
              <w:lastRenderedPageBreak/>
              <w:t>I have found a supervisor, but they do not have a tenured status. Is it possible to list them in my application or do I need to find another supervisor?</w:t>
            </w:r>
          </w:p>
        </w:tc>
        <w:tc>
          <w:tcPr>
            <w:tcW w:w="5665" w:type="dxa"/>
          </w:tcPr>
          <w:p w14:paraId="1E89E394" w14:textId="5B0082A0" w:rsidR="00EF3A2A" w:rsidRDefault="5248F9D8" w:rsidP="0F8B4B7A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F8B4B7A">
              <w:rPr>
                <w:sz w:val="24"/>
                <w:szCs w:val="24"/>
              </w:rPr>
              <w:t>S</w:t>
            </w:r>
            <w:r w:rsidR="36A7D9E6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upervisors must be ‘tenured academic staff from the YUFE universities’. If the potential supervisor</w:t>
            </w:r>
            <w:r w:rsidR="00DF2D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is not currently tenured but</w:t>
            </w:r>
            <w:r w:rsidR="36A7D9E6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can provide evidence that they will receive a tenured status by 31</w:t>
            </w:r>
            <w:r w:rsidR="36A7D9E6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36A7D9E6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August 2023, they can supervise a postdoc. </w:t>
            </w:r>
            <w:r w:rsidR="29DF97D0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 this case </w:t>
            </w:r>
            <w:r w:rsidR="01B076BF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supervisor must indicate the expected date of </w:t>
            </w:r>
            <w:r w:rsidR="07BED7D8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their tenured status in the signed </w:t>
            </w:r>
            <w:r w:rsidR="5366E20E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commitment</w:t>
            </w:r>
            <w:r w:rsidR="07BED7D8" w:rsidRPr="0F8B4B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letter.</w:t>
            </w:r>
          </w:p>
        </w:tc>
      </w:tr>
      <w:tr w:rsidR="000C6CAC" w14:paraId="1B429057" w14:textId="77777777" w:rsidTr="0F8B4B7A">
        <w:tc>
          <w:tcPr>
            <w:tcW w:w="3397" w:type="dxa"/>
          </w:tcPr>
          <w:p w14:paraId="08ABCD62" w14:textId="5AED4C83" w:rsidR="000C6CAC" w:rsidRPr="4DD82264" w:rsidRDefault="00DF2D7B" w:rsidP="4DD8226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application should I</w:t>
            </w:r>
            <w:r w:rsidR="006168C3">
              <w:rPr>
                <w:sz w:val="24"/>
                <w:szCs w:val="24"/>
              </w:rPr>
              <w:t xml:space="preserve"> already indicate</w:t>
            </w:r>
            <w:r w:rsidR="007D3F56">
              <w:rPr>
                <w:sz w:val="24"/>
                <w:szCs w:val="24"/>
              </w:rPr>
              <w:t xml:space="preserve"> </w:t>
            </w:r>
            <w:proofErr w:type="spellStart"/>
            <w:r w:rsidR="006168C3">
              <w:rPr>
                <w:sz w:val="24"/>
                <w:szCs w:val="24"/>
              </w:rPr>
              <w:t>the</w:t>
            </w:r>
            <w:proofErr w:type="spellEnd"/>
            <w:r w:rsidR="006168C3">
              <w:rPr>
                <w:sz w:val="24"/>
                <w:szCs w:val="24"/>
              </w:rPr>
              <w:t xml:space="preserve"> </w:t>
            </w:r>
            <w:r w:rsidR="00C6652B">
              <w:rPr>
                <w:sz w:val="24"/>
                <w:szCs w:val="24"/>
              </w:rPr>
              <w:t xml:space="preserve">non-academic mentor </w:t>
            </w:r>
            <w:r w:rsidR="00E1062C">
              <w:rPr>
                <w:sz w:val="24"/>
                <w:szCs w:val="24"/>
              </w:rPr>
              <w:t xml:space="preserve">who is </w:t>
            </w:r>
            <w:r w:rsidR="00291589">
              <w:rPr>
                <w:sz w:val="24"/>
                <w:szCs w:val="24"/>
              </w:rPr>
              <w:t xml:space="preserve">to be </w:t>
            </w:r>
            <w:r w:rsidR="00E1062C">
              <w:rPr>
                <w:sz w:val="24"/>
                <w:szCs w:val="24"/>
              </w:rPr>
              <w:t>part of the supervising team</w:t>
            </w:r>
            <w:r w:rsidR="0040202F">
              <w:rPr>
                <w:sz w:val="24"/>
                <w:szCs w:val="24"/>
              </w:rPr>
              <w:t>?</w:t>
            </w:r>
          </w:p>
        </w:tc>
        <w:tc>
          <w:tcPr>
            <w:tcW w:w="5665" w:type="dxa"/>
          </w:tcPr>
          <w:p w14:paraId="41F2D0D7" w14:textId="721F2FF2" w:rsidR="000C6CAC" w:rsidRDefault="00CF36FD" w:rsidP="4DD8226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non-academic mentor </w:t>
            </w:r>
            <w:r w:rsidR="00291589">
              <w:rPr>
                <w:sz w:val="24"/>
                <w:szCs w:val="24"/>
              </w:rPr>
              <w:t xml:space="preserve">will be identified after </w:t>
            </w:r>
            <w:r w:rsidR="00F164B7">
              <w:rPr>
                <w:sz w:val="24"/>
                <w:szCs w:val="24"/>
              </w:rPr>
              <w:t>the appointment of the postdoc in consu</w:t>
            </w:r>
            <w:r w:rsidR="00ED05AB">
              <w:rPr>
                <w:sz w:val="24"/>
                <w:szCs w:val="24"/>
              </w:rPr>
              <w:t>l</w:t>
            </w:r>
            <w:r w:rsidR="008B3A3F">
              <w:rPr>
                <w:sz w:val="24"/>
                <w:szCs w:val="24"/>
              </w:rPr>
              <w:t xml:space="preserve">tation </w:t>
            </w:r>
            <w:r w:rsidR="00F164B7">
              <w:rPr>
                <w:sz w:val="24"/>
                <w:szCs w:val="24"/>
              </w:rPr>
              <w:t>with the supervisor</w:t>
            </w:r>
            <w:r w:rsidR="009A585E">
              <w:rPr>
                <w:sz w:val="24"/>
                <w:szCs w:val="24"/>
              </w:rPr>
              <w:t xml:space="preserve">. </w:t>
            </w:r>
            <w:r w:rsidR="00E26A28">
              <w:rPr>
                <w:sz w:val="24"/>
                <w:szCs w:val="24"/>
              </w:rPr>
              <w:t xml:space="preserve">You must not indicate a name or an organisation </w:t>
            </w:r>
            <w:r w:rsidR="00722E1D">
              <w:rPr>
                <w:sz w:val="24"/>
                <w:szCs w:val="24"/>
              </w:rPr>
              <w:t xml:space="preserve">that is to </w:t>
            </w:r>
            <w:r w:rsidR="00B455BE">
              <w:rPr>
                <w:sz w:val="24"/>
                <w:szCs w:val="24"/>
              </w:rPr>
              <w:t>de</w:t>
            </w:r>
            <w:r w:rsidR="009B77BA">
              <w:rPr>
                <w:sz w:val="24"/>
                <w:szCs w:val="24"/>
              </w:rPr>
              <w:t xml:space="preserve">legate </w:t>
            </w:r>
            <w:r w:rsidR="00B455BE">
              <w:rPr>
                <w:sz w:val="24"/>
                <w:szCs w:val="24"/>
              </w:rPr>
              <w:t xml:space="preserve">this </w:t>
            </w:r>
            <w:r w:rsidR="00D560CB">
              <w:rPr>
                <w:sz w:val="24"/>
                <w:szCs w:val="24"/>
              </w:rPr>
              <w:t xml:space="preserve">non-academic mentor.  </w:t>
            </w:r>
          </w:p>
        </w:tc>
      </w:tr>
      <w:tr w:rsidR="001F2F62" w14:paraId="0EBF83A3" w14:textId="77777777" w:rsidTr="0F8B4B7A">
        <w:tc>
          <w:tcPr>
            <w:tcW w:w="3397" w:type="dxa"/>
          </w:tcPr>
          <w:p w14:paraId="312069C3" w14:textId="7D6349E3" w:rsidR="001F2F62" w:rsidRDefault="001F2F62" w:rsidP="4DD8226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stakeholders identified in the application be businesses</w:t>
            </w:r>
            <w:r w:rsidR="00917E2E">
              <w:rPr>
                <w:sz w:val="24"/>
                <w:szCs w:val="24"/>
              </w:rPr>
              <w:t>?</w:t>
            </w:r>
          </w:p>
        </w:tc>
        <w:tc>
          <w:tcPr>
            <w:tcW w:w="5665" w:type="dxa"/>
          </w:tcPr>
          <w:p w14:paraId="43863582" w14:textId="4660DA15" w:rsidR="001F2F62" w:rsidRDefault="00DF2D7B" w:rsidP="4DD8226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Companies</w:t>
            </w:r>
            <w:r w:rsidR="057FBD1E" w:rsidRPr="0F8B4B7A">
              <w:rPr>
                <w:sz w:val="24"/>
                <w:szCs w:val="24"/>
              </w:rPr>
              <w:t xml:space="preserve"> </w:t>
            </w:r>
            <w:r w:rsidR="318168AC" w:rsidRPr="0F8B4B7A">
              <w:rPr>
                <w:sz w:val="24"/>
                <w:szCs w:val="24"/>
              </w:rPr>
              <w:t xml:space="preserve">may </w:t>
            </w:r>
            <w:r w:rsidR="537FCFD2" w:rsidRPr="0F8B4B7A">
              <w:rPr>
                <w:sz w:val="24"/>
                <w:szCs w:val="24"/>
              </w:rPr>
              <w:t xml:space="preserve">be </w:t>
            </w:r>
            <w:r w:rsidR="5DD1589F" w:rsidRPr="0F8B4B7A">
              <w:rPr>
                <w:sz w:val="24"/>
                <w:szCs w:val="24"/>
              </w:rPr>
              <w:t xml:space="preserve">described as </w:t>
            </w:r>
            <w:r w:rsidR="3DBAE230" w:rsidRPr="0F8B4B7A">
              <w:rPr>
                <w:sz w:val="24"/>
                <w:szCs w:val="24"/>
              </w:rPr>
              <w:t>s</w:t>
            </w:r>
            <w:r w:rsidR="5DD1589F" w:rsidRPr="0F8B4B7A">
              <w:rPr>
                <w:sz w:val="24"/>
                <w:szCs w:val="24"/>
              </w:rPr>
              <w:t>takeholders</w:t>
            </w:r>
            <w:r>
              <w:rPr>
                <w:sz w:val="24"/>
                <w:szCs w:val="24"/>
              </w:rPr>
              <w:t xml:space="preserve"> and</w:t>
            </w:r>
            <w:r w:rsidR="5DD1589F" w:rsidRPr="0F8B4B7A">
              <w:rPr>
                <w:sz w:val="24"/>
                <w:szCs w:val="24"/>
              </w:rPr>
              <w:t xml:space="preserve"> hav</w:t>
            </w:r>
            <w:r>
              <w:rPr>
                <w:sz w:val="24"/>
                <w:szCs w:val="24"/>
              </w:rPr>
              <w:t>e</w:t>
            </w:r>
            <w:r w:rsidR="5DD1589F" w:rsidRPr="0F8B4B7A">
              <w:rPr>
                <w:sz w:val="24"/>
                <w:szCs w:val="24"/>
              </w:rPr>
              <w:t xml:space="preserve"> an interest in the research conducted</w:t>
            </w:r>
            <w:r w:rsidR="0DAAD99F" w:rsidRPr="0F8B4B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However,</w:t>
            </w:r>
            <w:r w:rsidR="5DD1589F" w:rsidRPr="0F8B4B7A">
              <w:rPr>
                <w:sz w:val="24"/>
                <w:szCs w:val="24"/>
              </w:rPr>
              <w:t xml:space="preserve"> you must not </w:t>
            </w:r>
            <w:r w:rsidR="0AE92105" w:rsidRPr="0F8B4B7A">
              <w:rPr>
                <w:sz w:val="24"/>
                <w:szCs w:val="24"/>
              </w:rPr>
              <w:t>define a project that is</w:t>
            </w:r>
            <w:r w:rsidR="2ACB2653" w:rsidRPr="0F8B4B7A">
              <w:rPr>
                <w:sz w:val="24"/>
                <w:szCs w:val="24"/>
              </w:rPr>
              <w:t xml:space="preserve"> tailor made </w:t>
            </w:r>
            <w:r w:rsidR="661B8641" w:rsidRPr="0F8B4B7A">
              <w:rPr>
                <w:sz w:val="24"/>
                <w:szCs w:val="24"/>
              </w:rPr>
              <w:t xml:space="preserve">for one specific </w:t>
            </w:r>
            <w:r w:rsidR="02DD7077" w:rsidRPr="0F8B4B7A">
              <w:rPr>
                <w:sz w:val="24"/>
                <w:szCs w:val="24"/>
              </w:rPr>
              <w:t xml:space="preserve">company (or </w:t>
            </w:r>
            <w:r w:rsidR="614E16D3" w:rsidRPr="0F8B4B7A">
              <w:rPr>
                <w:sz w:val="24"/>
                <w:szCs w:val="24"/>
              </w:rPr>
              <w:t>public entity party)</w:t>
            </w:r>
            <w:r w:rsidR="23EAEE5A" w:rsidRPr="0F8B4B7A">
              <w:rPr>
                <w:sz w:val="24"/>
                <w:szCs w:val="24"/>
              </w:rPr>
              <w:t xml:space="preserve">. </w:t>
            </w:r>
            <w:r w:rsidR="15A1244D" w:rsidRPr="0F8B4B7A">
              <w:rPr>
                <w:sz w:val="24"/>
                <w:szCs w:val="24"/>
              </w:rPr>
              <w:t>We</w:t>
            </w:r>
            <w:r w:rsidR="23EAEE5A" w:rsidRPr="0F8B4B7A">
              <w:rPr>
                <w:sz w:val="24"/>
                <w:szCs w:val="24"/>
              </w:rPr>
              <w:t xml:space="preserve"> </w:t>
            </w:r>
            <w:r w:rsidR="66D70249" w:rsidRPr="0F8B4B7A">
              <w:rPr>
                <w:sz w:val="24"/>
                <w:szCs w:val="24"/>
              </w:rPr>
              <w:t>require</w:t>
            </w:r>
            <w:r w:rsidR="61A7FFAB" w:rsidRPr="0F8B4B7A">
              <w:rPr>
                <w:sz w:val="24"/>
                <w:szCs w:val="24"/>
              </w:rPr>
              <w:t xml:space="preserve"> </w:t>
            </w:r>
            <w:r w:rsidR="615323E1" w:rsidRPr="0F8B4B7A">
              <w:rPr>
                <w:sz w:val="24"/>
                <w:szCs w:val="24"/>
              </w:rPr>
              <w:t xml:space="preserve">your project to </w:t>
            </w:r>
            <w:r w:rsidR="07412A33" w:rsidRPr="0F8B4B7A">
              <w:rPr>
                <w:sz w:val="24"/>
                <w:szCs w:val="24"/>
              </w:rPr>
              <w:t xml:space="preserve">be </w:t>
            </w:r>
            <w:r w:rsidR="66D70249" w:rsidRPr="0F8B4B7A">
              <w:rPr>
                <w:sz w:val="24"/>
                <w:szCs w:val="24"/>
              </w:rPr>
              <w:t xml:space="preserve">more generically </w:t>
            </w:r>
            <w:r w:rsidR="07412A33" w:rsidRPr="0F8B4B7A">
              <w:rPr>
                <w:sz w:val="24"/>
                <w:szCs w:val="24"/>
              </w:rPr>
              <w:t xml:space="preserve">relevant for </w:t>
            </w:r>
            <w:r w:rsidR="4F7E1EBD" w:rsidRPr="0F8B4B7A">
              <w:rPr>
                <w:sz w:val="24"/>
                <w:szCs w:val="24"/>
              </w:rPr>
              <w:t>multiple companies</w:t>
            </w:r>
            <w:r w:rsidR="66D70249" w:rsidRPr="0F8B4B7A">
              <w:rPr>
                <w:sz w:val="24"/>
                <w:szCs w:val="24"/>
              </w:rPr>
              <w:t xml:space="preserve"> or </w:t>
            </w:r>
            <w:r w:rsidR="359755E5" w:rsidRPr="0F8B4B7A">
              <w:rPr>
                <w:sz w:val="24"/>
                <w:szCs w:val="24"/>
              </w:rPr>
              <w:t xml:space="preserve">a </w:t>
            </w:r>
            <w:r w:rsidR="7B690FC5" w:rsidRPr="0F8B4B7A">
              <w:rPr>
                <w:sz w:val="24"/>
                <w:szCs w:val="24"/>
              </w:rPr>
              <w:t>business sector</w:t>
            </w:r>
            <w:r w:rsidR="597A6E14" w:rsidRPr="0F8B4B7A">
              <w:rPr>
                <w:sz w:val="24"/>
                <w:szCs w:val="24"/>
              </w:rPr>
              <w:t>.</w:t>
            </w:r>
          </w:p>
        </w:tc>
      </w:tr>
      <w:tr w:rsidR="00EF3A2A" w14:paraId="2F92D08E" w14:textId="77777777" w:rsidTr="0F8B4B7A">
        <w:tc>
          <w:tcPr>
            <w:tcW w:w="3397" w:type="dxa"/>
          </w:tcPr>
          <w:p w14:paraId="47C5B6E9" w14:textId="3C532500" w:rsidR="00EF3A2A" w:rsidRDefault="6EBB08C8" w:rsidP="4DD82264">
            <w:pPr>
              <w:spacing w:line="256" w:lineRule="auto"/>
              <w:rPr>
                <w:sz w:val="24"/>
                <w:szCs w:val="24"/>
              </w:rPr>
            </w:pPr>
            <w:r w:rsidRPr="4DD82264">
              <w:rPr>
                <w:sz w:val="24"/>
                <w:szCs w:val="24"/>
              </w:rPr>
              <w:t>I previously received a Marie Curie grant/fellowship. Does this mean that I cannot apply for YUFE4Postdocs?</w:t>
            </w:r>
          </w:p>
        </w:tc>
        <w:tc>
          <w:tcPr>
            <w:tcW w:w="5665" w:type="dxa"/>
          </w:tcPr>
          <w:p w14:paraId="0706EBDA" w14:textId="0DAD6521" w:rsidR="00EF3A2A" w:rsidRDefault="357B8615" w:rsidP="4DD82264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D8226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YUFE4Postdocs applications will be assessed independently and people who have completed previous Marie Curie fellowships can still apply. However, we are searching for junior postdocs </w:t>
            </w:r>
            <w:r w:rsidR="003E07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 those will benefit most from the comprehensive </w:t>
            </w:r>
            <w:r w:rsidRPr="4DD8226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Y4P training scheme.</w:t>
            </w:r>
          </w:p>
        </w:tc>
      </w:tr>
      <w:tr w:rsidR="00EF3A2A" w14:paraId="0C1C430F" w14:textId="77777777" w:rsidTr="0F8B4B7A">
        <w:tc>
          <w:tcPr>
            <w:tcW w:w="3397" w:type="dxa"/>
          </w:tcPr>
          <w:p w14:paraId="2E57A091" w14:textId="663F93E0" w:rsidR="00EF3A2A" w:rsidRDefault="47BE7AF3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What is the timeline for the second YUFE4Postdocs call?</w:t>
            </w:r>
          </w:p>
        </w:tc>
        <w:tc>
          <w:tcPr>
            <w:tcW w:w="5665" w:type="dxa"/>
          </w:tcPr>
          <w:p w14:paraId="72B7B15D" w14:textId="25CDD911" w:rsidR="00EF3A2A" w:rsidRDefault="3E1D7CD0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The second call will open on 1</w:t>
            </w:r>
            <w:r w:rsidRPr="692A383A">
              <w:rPr>
                <w:sz w:val="24"/>
                <w:szCs w:val="24"/>
                <w:vertAlign w:val="superscript"/>
              </w:rPr>
              <w:t>st</w:t>
            </w:r>
            <w:r w:rsidRPr="692A383A">
              <w:rPr>
                <w:sz w:val="24"/>
                <w:szCs w:val="24"/>
              </w:rPr>
              <w:t xml:space="preserve"> October 2023 and will close on 20</w:t>
            </w:r>
            <w:r w:rsidRPr="692A383A">
              <w:rPr>
                <w:sz w:val="24"/>
                <w:szCs w:val="24"/>
                <w:vertAlign w:val="superscript"/>
              </w:rPr>
              <w:t>th</w:t>
            </w:r>
            <w:r w:rsidRPr="692A383A">
              <w:rPr>
                <w:sz w:val="24"/>
                <w:szCs w:val="24"/>
              </w:rPr>
              <w:t xml:space="preserve"> December 2023. Successful </w:t>
            </w:r>
            <w:r w:rsidR="7CC26201" w:rsidRPr="692A383A">
              <w:rPr>
                <w:sz w:val="24"/>
                <w:szCs w:val="24"/>
              </w:rPr>
              <w:t xml:space="preserve">candidates will be appointed </w:t>
            </w:r>
            <w:r w:rsidR="00CC6D37">
              <w:rPr>
                <w:sz w:val="24"/>
                <w:szCs w:val="24"/>
              </w:rPr>
              <w:t>around</w:t>
            </w:r>
            <w:r w:rsidR="7CC26201" w:rsidRPr="692A383A">
              <w:rPr>
                <w:sz w:val="24"/>
                <w:szCs w:val="24"/>
              </w:rPr>
              <w:t xml:space="preserve"> 1</w:t>
            </w:r>
            <w:r w:rsidR="7CC26201" w:rsidRPr="692A383A">
              <w:rPr>
                <w:sz w:val="24"/>
                <w:szCs w:val="24"/>
                <w:vertAlign w:val="superscript"/>
              </w:rPr>
              <w:t>st</w:t>
            </w:r>
            <w:r w:rsidR="7CC26201" w:rsidRPr="692A383A">
              <w:rPr>
                <w:sz w:val="24"/>
                <w:szCs w:val="24"/>
              </w:rPr>
              <w:t xml:space="preserve"> September 2024. </w:t>
            </w:r>
          </w:p>
        </w:tc>
      </w:tr>
      <w:tr w:rsidR="692A383A" w14:paraId="030ADCE0" w14:textId="77777777" w:rsidTr="0F8B4B7A">
        <w:trPr>
          <w:trHeight w:val="300"/>
        </w:trPr>
        <w:tc>
          <w:tcPr>
            <w:tcW w:w="3397" w:type="dxa"/>
          </w:tcPr>
          <w:p w14:paraId="5C706DEC" w14:textId="6B2E5F58" w:rsidR="47B041D9" w:rsidRDefault="47B041D9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What is intra-YUFE mobility?</w:t>
            </w:r>
          </w:p>
        </w:tc>
        <w:tc>
          <w:tcPr>
            <w:tcW w:w="5665" w:type="dxa"/>
          </w:tcPr>
          <w:p w14:paraId="2BCC1F15" w14:textId="0DF9D66B" w:rsidR="0BE73FB6" w:rsidRDefault="0BE73FB6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It is compulsory for all postdocs to undertake intra-YUFE mobility. Th</w:t>
            </w:r>
            <w:r w:rsidR="3961F9E5" w:rsidRPr="692A383A">
              <w:rPr>
                <w:sz w:val="24"/>
                <w:szCs w:val="24"/>
              </w:rPr>
              <w:t>e aim is to initiate or further develop research collaboration and</w:t>
            </w:r>
            <w:r w:rsidR="00DF2D7B">
              <w:rPr>
                <w:sz w:val="24"/>
                <w:szCs w:val="24"/>
              </w:rPr>
              <w:t xml:space="preserve"> this</w:t>
            </w:r>
            <w:r w:rsidR="3961F9E5" w:rsidRPr="692A383A">
              <w:rPr>
                <w:sz w:val="24"/>
                <w:szCs w:val="24"/>
              </w:rPr>
              <w:t xml:space="preserve"> involves the postdoc spending time at the co-host university. </w:t>
            </w:r>
            <w:r w:rsidR="4EB98772" w:rsidRPr="692A383A">
              <w:rPr>
                <w:sz w:val="24"/>
                <w:szCs w:val="24"/>
              </w:rPr>
              <w:t>The duration is a min</w:t>
            </w:r>
            <w:r w:rsidR="008C3B67">
              <w:rPr>
                <w:sz w:val="24"/>
                <w:szCs w:val="24"/>
              </w:rPr>
              <w:t>.</w:t>
            </w:r>
            <w:r w:rsidR="4EB98772" w:rsidRPr="692A383A">
              <w:rPr>
                <w:sz w:val="24"/>
                <w:szCs w:val="24"/>
              </w:rPr>
              <w:t xml:space="preserve"> of one month and a max</w:t>
            </w:r>
            <w:r w:rsidR="008C3B67">
              <w:rPr>
                <w:sz w:val="24"/>
                <w:szCs w:val="24"/>
              </w:rPr>
              <w:t>.</w:t>
            </w:r>
            <w:r w:rsidR="4EB98772" w:rsidRPr="692A383A">
              <w:rPr>
                <w:sz w:val="24"/>
                <w:szCs w:val="24"/>
              </w:rPr>
              <w:t xml:space="preserve"> of six months and stays can be short or longer, single or multiple. Travel can be supported by a travel allowance. </w:t>
            </w:r>
            <w:r w:rsidR="0041779F">
              <w:rPr>
                <w:sz w:val="24"/>
                <w:szCs w:val="24"/>
              </w:rPr>
              <w:t xml:space="preserve">During this </w:t>
            </w:r>
            <w:r w:rsidR="000F54A8">
              <w:rPr>
                <w:sz w:val="24"/>
                <w:szCs w:val="24"/>
              </w:rPr>
              <w:t>intra-YUFE mobility postdoc</w:t>
            </w:r>
            <w:r w:rsidR="00F863B6">
              <w:rPr>
                <w:sz w:val="24"/>
                <w:szCs w:val="24"/>
              </w:rPr>
              <w:t>s</w:t>
            </w:r>
            <w:r w:rsidR="000F54A8">
              <w:rPr>
                <w:sz w:val="24"/>
                <w:szCs w:val="24"/>
              </w:rPr>
              <w:t xml:space="preserve"> maintain </w:t>
            </w:r>
            <w:r w:rsidR="00FE051D">
              <w:rPr>
                <w:sz w:val="24"/>
                <w:szCs w:val="24"/>
              </w:rPr>
              <w:t>their employment in the host institution.</w:t>
            </w:r>
          </w:p>
        </w:tc>
      </w:tr>
      <w:tr w:rsidR="692A383A" w14:paraId="66F23DF4" w14:textId="77777777" w:rsidTr="0F8B4B7A">
        <w:trPr>
          <w:trHeight w:val="300"/>
        </w:trPr>
        <w:tc>
          <w:tcPr>
            <w:tcW w:w="3397" w:type="dxa"/>
          </w:tcPr>
          <w:p w14:paraId="4F38A3AF" w14:textId="737A1C84" w:rsidR="0F97A07D" w:rsidRDefault="0F97A07D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lastRenderedPageBreak/>
              <w:t>When will candidates</w:t>
            </w:r>
            <w:r w:rsidR="7EAEB8B5" w:rsidRPr="692A383A">
              <w:rPr>
                <w:sz w:val="24"/>
                <w:szCs w:val="24"/>
              </w:rPr>
              <w:t xml:space="preserve"> for the first call</w:t>
            </w:r>
            <w:r w:rsidRPr="692A383A">
              <w:rPr>
                <w:sz w:val="24"/>
                <w:szCs w:val="24"/>
              </w:rPr>
              <w:t xml:space="preserve"> be notified about the outcome?</w:t>
            </w:r>
          </w:p>
        </w:tc>
        <w:tc>
          <w:tcPr>
            <w:tcW w:w="5665" w:type="dxa"/>
          </w:tcPr>
          <w:p w14:paraId="48C68700" w14:textId="4678E065" w:rsidR="0F97A07D" w:rsidRDefault="0F97A07D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Durin</w:t>
            </w:r>
            <w:r w:rsidR="272861E3" w:rsidRPr="692A383A">
              <w:rPr>
                <w:sz w:val="24"/>
                <w:szCs w:val="24"/>
              </w:rPr>
              <w:t>g the week of 15</w:t>
            </w:r>
            <w:r w:rsidR="272861E3" w:rsidRPr="692A383A">
              <w:rPr>
                <w:sz w:val="24"/>
                <w:szCs w:val="24"/>
                <w:vertAlign w:val="superscript"/>
              </w:rPr>
              <w:t>th</w:t>
            </w:r>
            <w:r w:rsidR="272861E3" w:rsidRPr="692A383A">
              <w:rPr>
                <w:sz w:val="24"/>
                <w:szCs w:val="24"/>
              </w:rPr>
              <w:t xml:space="preserve"> May</w:t>
            </w:r>
            <w:r w:rsidR="5F5E3C00" w:rsidRPr="692A383A">
              <w:rPr>
                <w:sz w:val="24"/>
                <w:szCs w:val="24"/>
              </w:rPr>
              <w:t xml:space="preserve"> 2023</w:t>
            </w:r>
            <w:r w:rsidR="272861E3" w:rsidRPr="692A383A">
              <w:rPr>
                <w:sz w:val="24"/>
                <w:szCs w:val="24"/>
              </w:rPr>
              <w:t xml:space="preserve"> applicants will be informed if their application was eligible or not. </w:t>
            </w:r>
            <w:r w:rsidR="00ED04D8">
              <w:rPr>
                <w:sz w:val="24"/>
                <w:szCs w:val="24"/>
              </w:rPr>
              <w:t>By the end of August</w:t>
            </w:r>
            <w:r w:rsidR="002C42FE">
              <w:rPr>
                <w:sz w:val="24"/>
                <w:szCs w:val="24"/>
              </w:rPr>
              <w:t xml:space="preserve">, candidates will be provided </w:t>
            </w:r>
            <w:r w:rsidR="00DF2D7B">
              <w:rPr>
                <w:sz w:val="24"/>
                <w:szCs w:val="24"/>
              </w:rPr>
              <w:t xml:space="preserve">with the </w:t>
            </w:r>
            <w:r w:rsidR="002C42FE">
              <w:rPr>
                <w:sz w:val="24"/>
                <w:szCs w:val="24"/>
              </w:rPr>
              <w:t>opportunity to comment on the peer</w:t>
            </w:r>
            <w:r w:rsidR="00B23CB7">
              <w:rPr>
                <w:sz w:val="24"/>
                <w:szCs w:val="24"/>
              </w:rPr>
              <w:t xml:space="preserve">-review assessments. </w:t>
            </w:r>
            <w:r w:rsidR="71510C88" w:rsidRPr="692A383A">
              <w:rPr>
                <w:sz w:val="24"/>
                <w:szCs w:val="24"/>
              </w:rPr>
              <w:t xml:space="preserve">In mid-October candidates will be informed </w:t>
            </w:r>
            <w:r w:rsidR="50A37F21" w:rsidRPr="692A383A">
              <w:rPr>
                <w:sz w:val="24"/>
                <w:szCs w:val="24"/>
              </w:rPr>
              <w:t>about the selection committee’s</w:t>
            </w:r>
            <w:r w:rsidR="7B05884C" w:rsidRPr="692A383A">
              <w:rPr>
                <w:sz w:val="24"/>
                <w:szCs w:val="24"/>
              </w:rPr>
              <w:t xml:space="preserve"> final</w:t>
            </w:r>
            <w:r w:rsidR="50A37F21" w:rsidRPr="692A383A">
              <w:rPr>
                <w:sz w:val="24"/>
                <w:szCs w:val="24"/>
              </w:rPr>
              <w:t xml:space="preserve"> decision. </w:t>
            </w:r>
          </w:p>
        </w:tc>
      </w:tr>
      <w:tr w:rsidR="692A383A" w14:paraId="31634F58" w14:textId="77777777" w:rsidTr="0F8B4B7A">
        <w:trPr>
          <w:trHeight w:val="300"/>
        </w:trPr>
        <w:tc>
          <w:tcPr>
            <w:tcW w:w="3397" w:type="dxa"/>
          </w:tcPr>
          <w:p w14:paraId="3F99CBC1" w14:textId="7D589F19" w:rsidR="68344087" w:rsidRDefault="68344087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Do candidates need to complete an interview as part of the selection procedure?</w:t>
            </w:r>
          </w:p>
        </w:tc>
        <w:tc>
          <w:tcPr>
            <w:tcW w:w="5665" w:type="dxa"/>
          </w:tcPr>
          <w:p w14:paraId="3CA75DFB" w14:textId="26455A22" w:rsidR="68344087" w:rsidRDefault="00A75E78" w:rsidP="692A383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host </w:t>
            </w:r>
            <w:r w:rsidR="68344087" w:rsidRPr="692A383A">
              <w:rPr>
                <w:sz w:val="24"/>
                <w:szCs w:val="24"/>
              </w:rPr>
              <w:t>universities accept the outcome of the selection procedure</w:t>
            </w:r>
            <w:r w:rsidR="00134B32">
              <w:rPr>
                <w:sz w:val="24"/>
                <w:szCs w:val="24"/>
              </w:rPr>
              <w:t xml:space="preserve"> and will start </w:t>
            </w:r>
            <w:r w:rsidR="00C73F24">
              <w:rPr>
                <w:sz w:val="24"/>
                <w:szCs w:val="24"/>
              </w:rPr>
              <w:t xml:space="preserve">the </w:t>
            </w:r>
            <w:r w:rsidR="004F2573">
              <w:rPr>
                <w:sz w:val="24"/>
                <w:szCs w:val="24"/>
              </w:rPr>
              <w:t>appointment</w:t>
            </w:r>
            <w:r w:rsidR="00C73F24">
              <w:rPr>
                <w:sz w:val="24"/>
                <w:szCs w:val="24"/>
              </w:rPr>
              <w:t xml:space="preserve"> procedures</w:t>
            </w:r>
            <w:r w:rsidR="004F2573">
              <w:rPr>
                <w:sz w:val="24"/>
                <w:szCs w:val="24"/>
              </w:rPr>
              <w:t xml:space="preserve"> without interviews.  </w:t>
            </w:r>
            <w:r w:rsidR="68344087" w:rsidRPr="692A383A">
              <w:rPr>
                <w:sz w:val="24"/>
                <w:szCs w:val="24"/>
              </w:rPr>
              <w:t xml:space="preserve">However, the University of Essex </w:t>
            </w:r>
            <w:r w:rsidR="00AD2CC0">
              <w:rPr>
                <w:sz w:val="24"/>
                <w:szCs w:val="24"/>
              </w:rPr>
              <w:t>requires</w:t>
            </w:r>
            <w:r w:rsidR="68344087" w:rsidRPr="692A383A">
              <w:rPr>
                <w:sz w:val="24"/>
                <w:szCs w:val="24"/>
              </w:rPr>
              <w:t xml:space="preserve"> that candidates </w:t>
            </w:r>
            <w:r w:rsidR="127492F8" w:rsidRPr="692A383A">
              <w:rPr>
                <w:sz w:val="24"/>
                <w:szCs w:val="24"/>
              </w:rPr>
              <w:t xml:space="preserve">must complete an interview before a labour contract is offered. This additional step will not require a new application by candidates and will not impact on the timing of the appointments. </w:t>
            </w:r>
          </w:p>
        </w:tc>
      </w:tr>
      <w:tr w:rsidR="692A383A" w14:paraId="255365AE" w14:textId="77777777" w:rsidTr="0F8B4B7A">
        <w:trPr>
          <w:trHeight w:val="300"/>
        </w:trPr>
        <w:tc>
          <w:tcPr>
            <w:tcW w:w="3397" w:type="dxa"/>
          </w:tcPr>
          <w:p w14:paraId="56D6718C" w14:textId="1AF3118D" w:rsidR="75BAAFE3" w:rsidRDefault="75BAAFE3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What is the process of assessing the applications</w:t>
            </w:r>
            <w:r w:rsidR="597BD7BE" w:rsidRPr="692A383A">
              <w:rPr>
                <w:sz w:val="24"/>
                <w:szCs w:val="24"/>
              </w:rPr>
              <w:t>?</w:t>
            </w:r>
          </w:p>
        </w:tc>
        <w:tc>
          <w:tcPr>
            <w:tcW w:w="5665" w:type="dxa"/>
          </w:tcPr>
          <w:p w14:paraId="7CFDB306" w14:textId="6E1832BD" w:rsidR="75BAAFE3" w:rsidRDefault="75BAAFE3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 xml:space="preserve">The </w:t>
            </w:r>
            <w:r w:rsidR="6881229F" w:rsidRPr="692A383A">
              <w:rPr>
                <w:sz w:val="24"/>
                <w:szCs w:val="24"/>
              </w:rPr>
              <w:t>assessment</w:t>
            </w:r>
            <w:r w:rsidRPr="692A383A">
              <w:rPr>
                <w:sz w:val="24"/>
                <w:szCs w:val="24"/>
              </w:rPr>
              <w:t xml:space="preserve"> procedure consists of a number of steps:</w:t>
            </w:r>
          </w:p>
          <w:p w14:paraId="0846556B" w14:textId="79C6F2AB" w:rsidR="5A57FAE5" w:rsidRDefault="5A57FAE5" w:rsidP="692A38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Initial e</w:t>
            </w:r>
            <w:r w:rsidR="75BAAFE3" w:rsidRPr="692A383A">
              <w:rPr>
                <w:sz w:val="24"/>
                <w:szCs w:val="24"/>
              </w:rPr>
              <w:t xml:space="preserve">ligibility check </w:t>
            </w:r>
          </w:p>
          <w:p w14:paraId="383EBEA5" w14:textId="2FF2802D" w:rsidR="75BAAFE3" w:rsidRDefault="75BAAFE3" w:rsidP="692A38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Peer review conducted by external reviewers.</w:t>
            </w:r>
          </w:p>
          <w:p w14:paraId="1C617E5C" w14:textId="02CF7947" w:rsidR="00EE690B" w:rsidRDefault="005A0EA8" w:rsidP="00EE690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interdisciplinary and intersectoral </w:t>
            </w:r>
            <w:r w:rsidR="00DF2D7B">
              <w:rPr>
                <w:sz w:val="24"/>
                <w:szCs w:val="24"/>
              </w:rPr>
              <w:t>s</w:t>
            </w:r>
            <w:r w:rsidR="75BAAFE3" w:rsidRPr="692A383A">
              <w:rPr>
                <w:sz w:val="24"/>
                <w:szCs w:val="24"/>
              </w:rPr>
              <w:t xml:space="preserve">election committee </w:t>
            </w:r>
            <w:r>
              <w:rPr>
                <w:sz w:val="24"/>
                <w:szCs w:val="24"/>
              </w:rPr>
              <w:t xml:space="preserve">decides on the </w:t>
            </w:r>
            <w:r w:rsidR="006D6844">
              <w:rPr>
                <w:sz w:val="24"/>
                <w:szCs w:val="24"/>
              </w:rPr>
              <w:t xml:space="preserve">ranking list per </w:t>
            </w:r>
            <w:r w:rsidR="00EE690B">
              <w:rPr>
                <w:sz w:val="24"/>
                <w:szCs w:val="24"/>
              </w:rPr>
              <w:t>focus area for e</w:t>
            </w:r>
            <w:r w:rsidR="00DF2D7B">
              <w:rPr>
                <w:sz w:val="24"/>
                <w:szCs w:val="24"/>
              </w:rPr>
              <w:t>ach</w:t>
            </w:r>
            <w:r w:rsidR="00EE690B">
              <w:rPr>
                <w:sz w:val="24"/>
                <w:szCs w:val="24"/>
              </w:rPr>
              <w:t xml:space="preserve"> university. </w:t>
            </w:r>
          </w:p>
          <w:p w14:paraId="524F3C87" w14:textId="35D65BA2" w:rsidR="3C111FF3" w:rsidRPr="007E6BE2" w:rsidRDefault="3C111FF3" w:rsidP="007E6BE2">
            <w:pPr>
              <w:spacing w:line="256" w:lineRule="auto"/>
              <w:rPr>
                <w:sz w:val="24"/>
                <w:szCs w:val="24"/>
              </w:rPr>
            </w:pPr>
            <w:r w:rsidRPr="007E6BE2">
              <w:rPr>
                <w:sz w:val="24"/>
                <w:szCs w:val="24"/>
              </w:rPr>
              <w:t>Candidates</w:t>
            </w:r>
            <w:r w:rsidR="14EC7809" w:rsidRPr="007E6BE2">
              <w:rPr>
                <w:sz w:val="24"/>
                <w:szCs w:val="24"/>
              </w:rPr>
              <w:t xml:space="preserve"> </w:t>
            </w:r>
            <w:r w:rsidRPr="007E6BE2">
              <w:rPr>
                <w:sz w:val="24"/>
                <w:szCs w:val="24"/>
              </w:rPr>
              <w:t xml:space="preserve">receive </w:t>
            </w:r>
            <w:r w:rsidR="2B040397" w:rsidRPr="007E6BE2">
              <w:rPr>
                <w:sz w:val="24"/>
                <w:szCs w:val="24"/>
              </w:rPr>
              <w:t xml:space="preserve">an </w:t>
            </w:r>
            <w:r w:rsidRPr="007E6BE2">
              <w:rPr>
                <w:sz w:val="24"/>
                <w:szCs w:val="24"/>
              </w:rPr>
              <w:t>evaluation summary report.</w:t>
            </w:r>
          </w:p>
        </w:tc>
      </w:tr>
      <w:tr w:rsidR="692A383A" w14:paraId="5D95C973" w14:textId="77777777" w:rsidTr="0F8B4B7A">
        <w:trPr>
          <w:trHeight w:val="300"/>
        </w:trPr>
        <w:tc>
          <w:tcPr>
            <w:tcW w:w="3397" w:type="dxa"/>
          </w:tcPr>
          <w:p w14:paraId="2FC51B56" w14:textId="53F697D3" w:rsidR="306BEAC2" w:rsidRDefault="306BEAC2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>Who will be part of the YUFE4postdocs selection committee?</w:t>
            </w:r>
          </w:p>
        </w:tc>
        <w:tc>
          <w:tcPr>
            <w:tcW w:w="5665" w:type="dxa"/>
          </w:tcPr>
          <w:p w14:paraId="049A4C58" w14:textId="5854C8EC" w:rsidR="306BEAC2" w:rsidRDefault="306BEAC2" w:rsidP="692A383A">
            <w:pPr>
              <w:spacing w:line="256" w:lineRule="auto"/>
              <w:rPr>
                <w:sz w:val="24"/>
                <w:szCs w:val="24"/>
              </w:rPr>
            </w:pPr>
            <w:r w:rsidRPr="692A383A">
              <w:rPr>
                <w:sz w:val="24"/>
                <w:szCs w:val="24"/>
              </w:rPr>
              <w:t xml:space="preserve">A selection committee is established for each of the YUFE focus areas (two for the first call and two for the second call). </w:t>
            </w:r>
            <w:r w:rsidR="47FCAC28" w:rsidRPr="692A383A">
              <w:rPr>
                <w:sz w:val="24"/>
                <w:szCs w:val="24"/>
              </w:rPr>
              <w:t xml:space="preserve">Each committee consists of </w:t>
            </w:r>
            <w:r w:rsidR="00311FD5">
              <w:rPr>
                <w:sz w:val="24"/>
                <w:szCs w:val="24"/>
              </w:rPr>
              <w:t>eight</w:t>
            </w:r>
            <w:r w:rsidR="47FCAC28" w:rsidRPr="692A383A">
              <w:rPr>
                <w:sz w:val="24"/>
                <w:szCs w:val="24"/>
              </w:rPr>
              <w:t xml:space="preserve"> academic members and three </w:t>
            </w:r>
            <w:r w:rsidR="001646CD">
              <w:rPr>
                <w:sz w:val="24"/>
                <w:szCs w:val="24"/>
              </w:rPr>
              <w:t xml:space="preserve">societal </w:t>
            </w:r>
            <w:r w:rsidR="007B6227">
              <w:rPr>
                <w:sz w:val="24"/>
                <w:szCs w:val="24"/>
              </w:rPr>
              <w:t>members</w:t>
            </w:r>
            <w:r w:rsidR="00264EBA">
              <w:rPr>
                <w:sz w:val="24"/>
                <w:szCs w:val="24"/>
              </w:rPr>
              <w:t xml:space="preserve">.  </w:t>
            </w:r>
            <w:r w:rsidR="47FCAC28" w:rsidRPr="692A383A">
              <w:rPr>
                <w:sz w:val="24"/>
                <w:szCs w:val="24"/>
              </w:rPr>
              <w:t xml:space="preserve">The </w:t>
            </w:r>
            <w:r w:rsidR="001646CD">
              <w:rPr>
                <w:sz w:val="24"/>
                <w:szCs w:val="24"/>
              </w:rPr>
              <w:t>s</w:t>
            </w:r>
            <w:r w:rsidR="007B6227">
              <w:rPr>
                <w:sz w:val="24"/>
                <w:szCs w:val="24"/>
              </w:rPr>
              <w:t>ocietal members</w:t>
            </w:r>
            <w:r w:rsidR="47FCAC28" w:rsidRPr="692A383A">
              <w:rPr>
                <w:sz w:val="24"/>
                <w:szCs w:val="24"/>
              </w:rPr>
              <w:t xml:space="preserve"> </w:t>
            </w:r>
            <w:r w:rsidR="4E63428C" w:rsidRPr="692A383A">
              <w:rPr>
                <w:sz w:val="24"/>
                <w:szCs w:val="24"/>
              </w:rPr>
              <w:t xml:space="preserve">will issue advice from a non-academic perspective, </w:t>
            </w:r>
            <w:r w:rsidR="49C55BBC" w:rsidRPr="692A383A">
              <w:rPr>
                <w:sz w:val="24"/>
                <w:szCs w:val="24"/>
              </w:rPr>
              <w:t>e.g.,</w:t>
            </w:r>
            <w:r w:rsidR="4E63428C" w:rsidRPr="692A383A">
              <w:rPr>
                <w:sz w:val="24"/>
                <w:szCs w:val="24"/>
              </w:rPr>
              <w:t xml:space="preserve"> the contribution of the research project to societa</w:t>
            </w:r>
            <w:r w:rsidR="59AB094C" w:rsidRPr="692A383A">
              <w:rPr>
                <w:sz w:val="24"/>
                <w:szCs w:val="24"/>
              </w:rPr>
              <w:t xml:space="preserve">l and/or economic impact. </w:t>
            </w:r>
          </w:p>
        </w:tc>
      </w:tr>
    </w:tbl>
    <w:p w14:paraId="7230B7C6" w14:textId="305676A0" w:rsidR="692A383A" w:rsidRDefault="692A383A"/>
    <w:p w14:paraId="68B7AC0B" w14:textId="610D8950" w:rsidR="00EF3A2A" w:rsidRDefault="00EF3A2A" w:rsidP="00493DD3">
      <w:pPr>
        <w:spacing w:line="256" w:lineRule="auto"/>
        <w:rPr>
          <w:rFonts w:cstheme="minorHAnsi"/>
          <w:sz w:val="24"/>
          <w:szCs w:val="24"/>
        </w:rPr>
      </w:pPr>
    </w:p>
    <w:p w14:paraId="5E6395FB" w14:textId="77777777" w:rsidR="00EF3A2A" w:rsidRDefault="00EF3A2A" w:rsidP="00EF3A2A"/>
    <w:p w14:paraId="3F17164A" w14:textId="100C7348" w:rsidR="00991950" w:rsidRPr="00493DD3" w:rsidRDefault="00991950" w:rsidP="00493DD3">
      <w:pPr>
        <w:rPr>
          <w:b/>
          <w:bCs/>
          <w:sz w:val="28"/>
          <w:szCs w:val="28"/>
          <w:u w:val="single"/>
          <w:lang w:val="en-US"/>
        </w:rPr>
      </w:pPr>
    </w:p>
    <w:sectPr w:rsidR="00991950" w:rsidRPr="004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012"/>
    <w:multiLevelType w:val="hybridMultilevel"/>
    <w:tmpl w:val="2AE87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FBA1"/>
    <w:multiLevelType w:val="hybridMultilevel"/>
    <w:tmpl w:val="6FEABEB8"/>
    <w:lvl w:ilvl="0" w:tplc="27B84878">
      <w:start w:val="1"/>
      <w:numFmt w:val="decimal"/>
      <w:lvlText w:val="%1)"/>
      <w:lvlJc w:val="left"/>
      <w:pPr>
        <w:ind w:left="720" w:hanging="360"/>
      </w:pPr>
    </w:lvl>
    <w:lvl w:ilvl="1" w:tplc="74AC5742">
      <w:start w:val="1"/>
      <w:numFmt w:val="lowerLetter"/>
      <w:lvlText w:val="%2."/>
      <w:lvlJc w:val="left"/>
      <w:pPr>
        <w:ind w:left="1440" w:hanging="360"/>
      </w:pPr>
    </w:lvl>
    <w:lvl w:ilvl="2" w:tplc="D376F872">
      <w:start w:val="1"/>
      <w:numFmt w:val="lowerRoman"/>
      <w:lvlText w:val="%3."/>
      <w:lvlJc w:val="right"/>
      <w:pPr>
        <w:ind w:left="2160" w:hanging="180"/>
      </w:pPr>
    </w:lvl>
    <w:lvl w:ilvl="3" w:tplc="CF0CA872">
      <w:start w:val="1"/>
      <w:numFmt w:val="decimal"/>
      <w:lvlText w:val="%4."/>
      <w:lvlJc w:val="left"/>
      <w:pPr>
        <w:ind w:left="2880" w:hanging="360"/>
      </w:pPr>
    </w:lvl>
    <w:lvl w:ilvl="4" w:tplc="9102A53C">
      <w:start w:val="1"/>
      <w:numFmt w:val="lowerLetter"/>
      <w:lvlText w:val="%5."/>
      <w:lvlJc w:val="left"/>
      <w:pPr>
        <w:ind w:left="3600" w:hanging="360"/>
      </w:pPr>
    </w:lvl>
    <w:lvl w:ilvl="5" w:tplc="6150CFC2">
      <w:start w:val="1"/>
      <w:numFmt w:val="lowerRoman"/>
      <w:lvlText w:val="%6."/>
      <w:lvlJc w:val="right"/>
      <w:pPr>
        <w:ind w:left="4320" w:hanging="180"/>
      </w:pPr>
    </w:lvl>
    <w:lvl w:ilvl="6" w:tplc="D8D4D1F6">
      <w:start w:val="1"/>
      <w:numFmt w:val="decimal"/>
      <w:lvlText w:val="%7."/>
      <w:lvlJc w:val="left"/>
      <w:pPr>
        <w:ind w:left="5040" w:hanging="360"/>
      </w:pPr>
    </w:lvl>
    <w:lvl w:ilvl="7" w:tplc="7D104FE0">
      <w:start w:val="1"/>
      <w:numFmt w:val="lowerLetter"/>
      <w:lvlText w:val="%8."/>
      <w:lvlJc w:val="left"/>
      <w:pPr>
        <w:ind w:left="5760" w:hanging="360"/>
      </w:pPr>
    </w:lvl>
    <w:lvl w:ilvl="8" w:tplc="C77089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D44"/>
    <w:multiLevelType w:val="multilevel"/>
    <w:tmpl w:val="45C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305751">
    <w:abstractNumId w:val="1"/>
  </w:num>
  <w:num w:numId="2" w16cid:durableId="1455058965">
    <w:abstractNumId w:val="0"/>
  </w:num>
  <w:num w:numId="3" w16cid:durableId="24172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0"/>
    <w:rsid w:val="000159A6"/>
    <w:rsid w:val="00022B6E"/>
    <w:rsid w:val="00064783"/>
    <w:rsid w:val="000C6CAC"/>
    <w:rsid w:val="000D4BF5"/>
    <w:rsid w:val="000F54A8"/>
    <w:rsid w:val="001074CB"/>
    <w:rsid w:val="00134B32"/>
    <w:rsid w:val="00160686"/>
    <w:rsid w:val="001646CD"/>
    <w:rsid w:val="00176D75"/>
    <w:rsid w:val="00177AC4"/>
    <w:rsid w:val="001972CA"/>
    <w:rsid w:val="001C71CF"/>
    <w:rsid w:val="001E2E81"/>
    <w:rsid w:val="001F0361"/>
    <w:rsid w:val="001F2F62"/>
    <w:rsid w:val="00233371"/>
    <w:rsid w:val="00264EBA"/>
    <w:rsid w:val="00291589"/>
    <w:rsid w:val="0029778E"/>
    <w:rsid w:val="002C42FE"/>
    <w:rsid w:val="002E294B"/>
    <w:rsid w:val="00311A92"/>
    <w:rsid w:val="00311FD5"/>
    <w:rsid w:val="00390D86"/>
    <w:rsid w:val="003D3EDA"/>
    <w:rsid w:val="003E0743"/>
    <w:rsid w:val="003F3C4B"/>
    <w:rsid w:val="0040202F"/>
    <w:rsid w:val="00403B65"/>
    <w:rsid w:val="00411E3B"/>
    <w:rsid w:val="0041779F"/>
    <w:rsid w:val="00493DD3"/>
    <w:rsid w:val="004D4F7F"/>
    <w:rsid w:val="004F2573"/>
    <w:rsid w:val="00512171"/>
    <w:rsid w:val="00535BDB"/>
    <w:rsid w:val="00571451"/>
    <w:rsid w:val="005828A1"/>
    <w:rsid w:val="005A0EA8"/>
    <w:rsid w:val="005C65CC"/>
    <w:rsid w:val="006168C3"/>
    <w:rsid w:val="00630BFE"/>
    <w:rsid w:val="00657114"/>
    <w:rsid w:val="006B2AF3"/>
    <w:rsid w:val="006D6844"/>
    <w:rsid w:val="00722E1D"/>
    <w:rsid w:val="007371D6"/>
    <w:rsid w:val="0073761D"/>
    <w:rsid w:val="00756EB3"/>
    <w:rsid w:val="00772346"/>
    <w:rsid w:val="007A19B4"/>
    <w:rsid w:val="007B6227"/>
    <w:rsid w:val="007D1E83"/>
    <w:rsid w:val="007D3F56"/>
    <w:rsid w:val="007D7D1B"/>
    <w:rsid w:val="007E6BE2"/>
    <w:rsid w:val="007F6F38"/>
    <w:rsid w:val="00806E09"/>
    <w:rsid w:val="00816504"/>
    <w:rsid w:val="00846434"/>
    <w:rsid w:val="00865E4E"/>
    <w:rsid w:val="008B0774"/>
    <w:rsid w:val="008B3A3F"/>
    <w:rsid w:val="008C3B67"/>
    <w:rsid w:val="00917E2E"/>
    <w:rsid w:val="00991950"/>
    <w:rsid w:val="009A585E"/>
    <w:rsid w:val="009B77BA"/>
    <w:rsid w:val="009C619D"/>
    <w:rsid w:val="00A10C07"/>
    <w:rsid w:val="00A66327"/>
    <w:rsid w:val="00A709D2"/>
    <w:rsid w:val="00A75E78"/>
    <w:rsid w:val="00A85BE6"/>
    <w:rsid w:val="00A974B5"/>
    <w:rsid w:val="00AA56CA"/>
    <w:rsid w:val="00AA6567"/>
    <w:rsid w:val="00AD2CC0"/>
    <w:rsid w:val="00B11732"/>
    <w:rsid w:val="00B23CB7"/>
    <w:rsid w:val="00B27BCD"/>
    <w:rsid w:val="00B455BE"/>
    <w:rsid w:val="00B53FBE"/>
    <w:rsid w:val="00B86D5C"/>
    <w:rsid w:val="00BC1045"/>
    <w:rsid w:val="00BF0712"/>
    <w:rsid w:val="00C6652B"/>
    <w:rsid w:val="00C73F24"/>
    <w:rsid w:val="00CB17AE"/>
    <w:rsid w:val="00CC6D37"/>
    <w:rsid w:val="00CE0A66"/>
    <w:rsid w:val="00CF36FD"/>
    <w:rsid w:val="00CF3DFD"/>
    <w:rsid w:val="00D51A22"/>
    <w:rsid w:val="00D560CB"/>
    <w:rsid w:val="00D57684"/>
    <w:rsid w:val="00D84B52"/>
    <w:rsid w:val="00D86682"/>
    <w:rsid w:val="00DA74E3"/>
    <w:rsid w:val="00DD1D98"/>
    <w:rsid w:val="00DF2CDD"/>
    <w:rsid w:val="00DF2D7B"/>
    <w:rsid w:val="00E1062C"/>
    <w:rsid w:val="00E26A28"/>
    <w:rsid w:val="00EB00F2"/>
    <w:rsid w:val="00EB28D0"/>
    <w:rsid w:val="00ED04D8"/>
    <w:rsid w:val="00ED05AB"/>
    <w:rsid w:val="00EE690B"/>
    <w:rsid w:val="00EF3A2A"/>
    <w:rsid w:val="00F164B7"/>
    <w:rsid w:val="00F25185"/>
    <w:rsid w:val="00F3310B"/>
    <w:rsid w:val="00F43DEF"/>
    <w:rsid w:val="00F72FD3"/>
    <w:rsid w:val="00F84ED0"/>
    <w:rsid w:val="00F863B6"/>
    <w:rsid w:val="00FB6A9E"/>
    <w:rsid w:val="00FD10B6"/>
    <w:rsid w:val="00FE051D"/>
    <w:rsid w:val="00FE27F6"/>
    <w:rsid w:val="01968085"/>
    <w:rsid w:val="01B076BF"/>
    <w:rsid w:val="02DD7077"/>
    <w:rsid w:val="03EBB235"/>
    <w:rsid w:val="040F352B"/>
    <w:rsid w:val="04B32D84"/>
    <w:rsid w:val="057FBD1E"/>
    <w:rsid w:val="05878296"/>
    <w:rsid w:val="0656163E"/>
    <w:rsid w:val="065A2FA6"/>
    <w:rsid w:val="067AD47C"/>
    <w:rsid w:val="07412A33"/>
    <w:rsid w:val="07BED7D8"/>
    <w:rsid w:val="07F1E69F"/>
    <w:rsid w:val="0A22509C"/>
    <w:rsid w:val="0AD12A8C"/>
    <w:rsid w:val="0AE92105"/>
    <w:rsid w:val="0BE73FB6"/>
    <w:rsid w:val="0C7D61DE"/>
    <w:rsid w:val="0CB53933"/>
    <w:rsid w:val="0CDCFEB9"/>
    <w:rsid w:val="0CDE801F"/>
    <w:rsid w:val="0CECAF60"/>
    <w:rsid w:val="0DAAD99F"/>
    <w:rsid w:val="0EC6F776"/>
    <w:rsid w:val="0F8959FA"/>
    <w:rsid w:val="0F8B4B7A"/>
    <w:rsid w:val="0F97A07D"/>
    <w:rsid w:val="11603F60"/>
    <w:rsid w:val="127492F8"/>
    <w:rsid w:val="1340A034"/>
    <w:rsid w:val="139028DC"/>
    <w:rsid w:val="14EC7809"/>
    <w:rsid w:val="154B1CF1"/>
    <w:rsid w:val="15A1244D"/>
    <w:rsid w:val="15FEA64D"/>
    <w:rsid w:val="1951FF22"/>
    <w:rsid w:val="197282DB"/>
    <w:rsid w:val="1B65C982"/>
    <w:rsid w:val="1B821264"/>
    <w:rsid w:val="1B9B3AC1"/>
    <w:rsid w:val="1C336E1E"/>
    <w:rsid w:val="1DF30DDE"/>
    <w:rsid w:val="1E10314F"/>
    <w:rsid w:val="1E106C30"/>
    <w:rsid w:val="1E7F3973"/>
    <w:rsid w:val="1FAC3C91"/>
    <w:rsid w:val="1FC3D395"/>
    <w:rsid w:val="20558387"/>
    <w:rsid w:val="2103F685"/>
    <w:rsid w:val="22E0B1D6"/>
    <w:rsid w:val="23EAEE5A"/>
    <w:rsid w:val="23F4F239"/>
    <w:rsid w:val="247D71FB"/>
    <w:rsid w:val="2590C29A"/>
    <w:rsid w:val="272861E3"/>
    <w:rsid w:val="275732DF"/>
    <w:rsid w:val="27A3840D"/>
    <w:rsid w:val="28AB6E00"/>
    <w:rsid w:val="294CC95A"/>
    <w:rsid w:val="29DF97D0"/>
    <w:rsid w:val="2A6E821F"/>
    <w:rsid w:val="2ACB2653"/>
    <w:rsid w:val="2B040397"/>
    <w:rsid w:val="2B4E10EC"/>
    <w:rsid w:val="2B8C775A"/>
    <w:rsid w:val="2BAC59AD"/>
    <w:rsid w:val="2BD334B1"/>
    <w:rsid w:val="2D191088"/>
    <w:rsid w:val="2D5E9389"/>
    <w:rsid w:val="2E7A5138"/>
    <w:rsid w:val="2ECE8D6A"/>
    <w:rsid w:val="2F018839"/>
    <w:rsid w:val="2F30C35B"/>
    <w:rsid w:val="2FF6DDB1"/>
    <w:rsid w:val="306BEAC2"/>
    <w:rsid w:val="30F50A69"/>
    <w:rsid w:val="318168AC"/>
    <w:rsid w:val="3212E428"/>
    <w:rsid w:val="3268641D"/>
    <w:rsid w:val="32CC2D68"/>
    <w:rsid w:val="33985844"/>
    <w:rsid w:val="33F83F31"/>
    <w:rsid w:val="342AB26A"/>
    <w:rsid w:val="34443107"/>
    <w:rsid w:val="3461F0DD"/>
    <w:rsid w:val="352C12C1"/>
    <w:rsid w:val="353428A5"/>
    <w:rsid w:val="357B8615"/>
    <w:rsid w:val="359755E5"/>
    <w:rsid w:val="36A7D9E6"/>
    <w:rsid w:val="36E28724"/>
    <w:rsid w:val="36E84C16"/>
    <w:rsid w:val="38CE4A57"/>
    <w:rsid w:val="3916DA19"/>
    <w:rsid w:val="3961F9E5"/>
    <w:rsid w:val="3A9F9693"/>
    <w:rsid w:val="3BCC3035"/>
    <w:rsid w:val="3C111FF3"/>
    <w:rsid w:val="3C1E156E"/>
    <w:rsid w:val="3C887D3F"/>
    <w:rsid w:val="3D87CAF5"/>
    <w:rsid w:val="3DBAE230"/>
    <w:rsid w:val="3E1D7CD0"/>
    <w:rsid w:val="3F9A0570"/>
    <w:rsid w:val="3FB23896"/>
    <w:rsid w:val="3FC86D35"/>
    <w:rsid w:val="409B7113"/>
    <w:rsid w:val="414523E5"/>
    <w:rsid w:val="41E0E5C7"/>
    <w:rsid w:val="43347DAC"/>
    <w:rsid w:val="451FB9AD"/>
    <w:rsid w:val="4637C45A"/>
    <w:rsid w:val="46952C8D"/>
    <w:rsid w:val="4695AC86"/>
    <w:rsid w:val="46DC5E73"/>
    <w:rsid w:val="47B041D9"/>
    <w:rsid w:val="47BE7AF3"/>
    <w:rsid w:val="47D5EF4A"/>
    <w:rsid w:val="47FCAC28"/>
    <w:rsid w:val="48634CA5"/>
    <w:rsid w:val="486FE180"/>
    <w:rsid w:val="491FDC74"/>
    <w:rsid w:val="49A831FC"/>
    <w:rsid w:val="49BDD8B9"/>
    <w:rsid w:val="49C55BBC"/>
    <w:rsid w:val="49CD4D48"/>
    <w:rsid w:val="4A3C075D"/>
    <w:rsid w:val="4AE910D3"/>
    <w:rsid w:val="4BE62212"/>
    <w:rsid w:val="4C33E61A"/>
    <w:rsid w:val="4C3C5203"/>
    <w:rsid w:val="4D0004C3"/>
    <w:rsid w:val="4D25998F"/>
    <w:rsid w:val="4D64B556"/>
    <w:rsid w:val="4DCAE770"/>
    <w:rsid w:val="4DD82264"/>
    <w:rsid w:val="4DF34D97"/>
    <w:rsid w:val="4E63428C"/>
    <w:rsid w:val="4E7C446C"/>
    <w:rsid w:val="4E9BD524"/>
    <w:rsid w:val="4EB98772"/>
    <w:rsid w:val="4F7E1EBD"/>
    <w:rsid w:val="4FDEA6A0"/>
    <w:rsid w:val="50A37F21"/>
    <w:rsid w:val="5111C5FC"/>
    <w:rsid w:val="512AEE59"/>
    <w:rsid w:val="517A7701"/>
    <w:rsid w:val="51A24D34"/>
    <w:rsid w:val="51ADB9F0"/>
    <w:rsid w:val="51DA4134"/>
    <w:rsid w:val="52266901"/>
    <w:rsid w:val="5248F9D8"/>
    <w:rsid w:val="53164762"/>
    <w:rsid w:val="5366E20E"/>
    <w:rsid w:val="537FCFD2"/>
    <w:rsid w:val="5404AC85"/>
    <w:rsid w:val="5440CE03"/>
    <w:rsid w:val="545EA8AE"/>
    <w:rsid w:val="546AE31D"/>
    <w:rsid w:val="5560FA6E"/>
    <w:rsid w:val="55EBDB59"/>
    <w:rsid w:val="564DE824"/>
    <w:rsid w:val="56E61B81"/>
    <w:rsid w:val="572FF7F6"/>
    <w:rsid w:val="573C4D47"/>
    <w:rsid w:val="57592E9B"/>
    <w:rsid w:val="5933A134"/>
    <w:rsid w:val="5936003E"/>
    <w:rsid w:val="597A6E14"/>
    <w:rsid w:val="597BD7BE"/>
    <w:rsid w:val="59AB094C"/>
    <w:rsid w:val="5A57FAE5"/>
    <w:rsid w:val="5A6F6E51"/>
    <w:rsid w:val="5AFF9A3F"/>
    <w:rsid w:val="5BB98CA4"/>
    <w:rsid w:val="5CB0773A"/>
    <w:rsid w:val="5CBEAD5A"/>
    <w:rsid w:val="5D2207F4"/>
    <w:rsid w:val="5D22FF5A"/>
    <w:rsid w:val="5D94D789"/>
    <w:rsid w:val="5DD1589F"/>
    <w:rsid w:val="5DD3F1B1"/>
    <w:rsid w:val="5EA40AF4"/>
    <w:rsid w:val="5F5E3C00"/>
    <w:rsid w:val="608BE2CC"/>
    <w:rsid w:val="608CFDC7"/>
    <w:rsid w:val="61072176"/>
    <w:rsid w:val="614E16D3"/>
    <w:rsid w:val="615323E1"/>
    <w:rsid w:val="618778A0"/>
    <w:rsid w:val="61A7FFAB"/>
    <w:rsid w:val="6223085D"/>
    <w:rsid w:val="64949DC7"/>
    <w:rsid w:val="661B8641"/>
    <w:rsid w:val="66D70249"/>
    <w:rsid w:val="66E7CE41"/>
    <w:rsid w:val="682D0BA7"/>
    <w:rsid w:val="68344087"/>
    <w:rsid w:val="6881229F"/>
    <w:rsid w:val="692A383A"/>
    <w:rsid w:val="6A8E1EBE"/>
    <w:rsid w:val="6B8463C2"/>
    <w:rsid w:val="6BC28EFF"/>
    <w:rsid w:val="6BF8EF4A"/>
    <w:rsid w:val="6CAA4B04"/>
    <w:rsid w:val="6D736E55"/>
    <w:rsid w:val="6D7CB396"/>
    <w:rsid w:val="6D7EDACB"/>
    <w:rsid w:val="6E36F783"/>
    <w:rsid w:val="6E883D25"/>
    <w:rsid w:val="6EBB08C8"/>
    <w:rsid w:val="6F1AAB2C"/>
    <w:rsid w:val="6F383819"/>
    <w:rsid w:val="706ECFC3"/>
    <w:rsid w:val="70967A41"/>
    <w:rsid w:val="71510C88"/>
    <w:rsid w:val="722B0325"/>
    <w:rsid w:val="7246DF78"/>
    <w:rsid w:val="73198C88"/>
    <w:rsid w:val="74548C8D"/>
    <w:rsid w:val="75715ECB"/>
    <w:rsid w:val="75BAAFE3"/>
    <w:rsid w:val="771A509B"/>
    <w:rsid w:val="7788AC64"/>
    <w:rsid w:val="7806BC02"/>
    <w:rsid w:val="78A8FF8D"/>
    <w:rsid w:val="78B620FC"/>
    <w:rsid w:val="7AD5821E"/>
    <w:rsid w:val="7B05884C"/>
    <w:rsid w:val="7B434471"/>
    <w:rsid w:val="7B690FC5"/>
    <w:rsid w:val="7C98222C"/>
    <w:rsid w:val="7CC26201"/>
    <w:rsid w:val="7D3B0F8E"/>
    <w:rsid w:val="7E51B046"/>
    <w:rsid w:val="7EAEB8B5"/>
    <w:rsid w:val="7EB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A703"/>
  <w15:chartTrackingRefBased/>
  <w15:docId w15:val="{FE15F256-89F5-429E-8A33-3DF5846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19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DD3"/>
    <w:rPr>
      <w:lang w:val="en-GB"/>
    </w:rPr>
  </w:style>
  <w:style w:type="table" w:styleId="TableGrid">
    <w:name w:val="Table Grid"/>
    <w:basedOn w:val="TableNormal"/>
    <w:uiPriority w:val="39"/>
    <w:rsid w:val="00EF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34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4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c7f3a-2505-44fd-98a3-3f5e72a234eb">
      <Terms xmlns="http://schemas.microsoft.com/office/infopath/2007/PartnerControls"/>
    </lcf76f155ced4ddcb4097134ff3c332f>
    <TaxCatchAll xmlns="db421c26-9d68-4a90-aa0a-38105559f1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E6D5EE56689439029C15DE03CC2C5" ma:contentTypeVersion="12" ma:contentTypeDescription="Create a new document." ma:contentTypeScope="" ma:versionID="9d3ede8584b869b03037991d7b6abf00">
  <xsd:schema xmlns:xsd="http://www.w3.org/2001/XMLSchema" xmlns:xs="http://www.w3.org/2001/XMLSchema" xmlns:p="http://schemas.microsoft.com/office/2006/metadata/properties" xmlns:ns2="540c7f3a-2505-44fd-98a3-3f5e72a234eb" xmlns:ns3="db421c26-9d68-4a90-aa0a-38105559f15e" targetNamespace="http://schemas.microsoft.com/office/2006/metadata/properties" ma:root="true" ma:fieldsID="aced34b6d968d6522c86cf550af323cf" ns2:_="" ns3:_="">
    <xsd:import namespace="540c7f3a-2505-44fd-98a3-3f5e72a234eb"/>
    <xsd:import namespace="db421c26-9d68-4a90-aa0a-38105559f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f3a-2505-44fd-98a3-3f5e72a2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1c26-9d68-4a90-aa0a-38105559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fb4e03-d5ad-4ac6-8831-3688b8fbbb17}" ma:internalName="TaxCatchAll" ma:showField="CatchAllData" ma:web="db421c26-9d68-4a90-aa0a-38105559f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4C161-C3DC-447E-96FF-207101C05EB4}">
  <ds:schemaRefs>
    <ds:schemaRef ds:uri="http://schemas.microsoft.com/office/2006/metadata/properties"/>
    <ds:schemaRef ds:uri="http://schemas.microsoft.com/office/infopath/2007/PartnerControls"/>
    <ds:schemaRef ds:uri="540c7f3a-2505-44fd-98a3-3f5e72a234eb"/>
    <ds:schemaRef ds:uri="db421c26-9d68-4a90-aa0a-38105559f15e"/>
  </ds:schemaRefs>
</ds:datastoreItem>
</file>

<file path=customXml/itemProps2.xml><?xml version="1.0" encoding="utf-8"?>
<ds:datastoreItem xmlns:ds="http://schemas.openxmlformats.org/officeDocument/2006/customXml" ds:itemID="{21DAA618-8D20-4D80-B5A1-C9BC51864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7f3a-2505-44fd-98a3-3f5e72a234eb"/>
    <ds:schemaRef ds:uri="db421c26-9d68-4a90-aa0a-38105559f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DC706-BDA6-46A4-AE61-57F4A961C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Hannah Whittle Letchford</cp:lastModifiedBy>
  <cp:revision>2</cp:revision>
  <dcterms:created xsi:type="dcterms:W3CDTF">2023-04-05T15:47:00Z</dcterms:created>
  <dcterms:modified xsi:type="dcterms:W3CDTF">2023-04-05T15:47:00Z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0x010100289E6D5EE56689439029C15DE03CC2C5</vt:lpwstr>
  </property>
  <property fmtid="{D5CDD505-2E9C-101B-9397-08002B2CF9AE}" pid="3" name="MediaServiceImageTags">
    <vt:lpwstr/>
  </property>
</Properties>
</file>